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CA6E53D" w14:textId="61A86879" w:rsidR="007F08C0" w:rsidRDefault="007F08C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Przedstawiam swoją ofertę dotyczącą ogłoszenia o zamówieniu na wykonanie </w:t>
      </w:r>
      <w:r w:rsidR="000F0420" w:rsidRPr="000F0420">
        <w:rPr>
          <w:rFonts w:ascii="Cambria" w:hAnsi="Cambria"/>
          <w:sz w:val="22"/>
          <w:szCs w:val="22"/>
        </w:rPr>
        <w:t>analizy zawartości pierwiastków P, K, Ca, Mg, Fe, Zn, Cu, B, Mn w 90 próbach korzeni sosny zwyczajnej (+/- 10%)</w:t>
      </w:r>
      <w:r w:rsidR="000F0420">
        <w:rPr>
          <w:rFonts w:ascii="Cambria" w:hAnsi="Cambria"/>
          <w:sz w:val="22"/>
          <w:szCs w:val="22"/>
        </w:rPr>
        <w:t xml:space="preserve"> dla Instytutu Dendrologii Polskiej Akademii Nauk:</w:t>
      </w:r>
    </w:p>
    <w:p w14:paraId="6B069B01" w14:textId="77777777" w:rsidR="000F0420" w:rsidRPr="007F08C0" w:rsidRDefault="000F042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6BC81FE9" w14:textId="77777777" w:rsidR="000F0420" w:rsidRDefault="000F042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2E61AE0C" w14:textId="77755844" w:rsidR="007F08C0" w:rsidRPr="007F08C0" w:rsidRDefault="007F08C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745EC03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7202326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5955CEC6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7F08C0">
        <w:rPr>
          <w:rFonts w:ascii="Cambria" w:hAnsi="Cambria"/>
          <w:bCs/>
          <w:sz w:val="22"/>
          <w:szCs w:val="22"/>
        </w:rPr>
        <w:t>Oświadczamy o stosowaniu Certyfikowanych Materiałów Referencyjnych.</w:t>
      </w: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Data:   </w:t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  <w:t>.…………………………………..</w:t>
      </w:r>
    </w:p>
    <w:p w14:paraId="55CDD0D6" w14:textId="777D2D8B" w:rsidR="007F08C0" w:rsidRDefault="007F08C0" w:rsidP="000F042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E5F054F" w14:textId="019B622C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2</w:t>
      </w:r>
    </w:p>
    <w:p w14:paraId="5E5B8C54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>Umowa DAZ.2541…..2025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…………………………………………….,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 xml:space="preserve">w trybie ……………………………………………………..………….,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……….……………………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4E63B1CA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0F0420">
        <w:rPr>
          <w:rFonts w:ascii="Cambria" w:hAnsi="Cambria"/>
          <w:spacing w:val="-2"/>
          <w:sz w:val="22"/>
          <w:szCs w:val="22"/>
        </w:rPr>
        <w:t>24</w:t>
      </w:r>
      <w:r w:rsidRPr="007F08C0">
        <w:rPr>
          <w:rFonts w:ascii="Cambria" w:hAnsi="Cambria"/>
          <w:spacing w:val="-2"/>
          <w:sz w:val="22"/>
          <w:szCs w:val="22"/>
        </w:rPr>
        <w:t>.10.2025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Za wykonanie wszystkich czynności opisanych w § 1 WYKONAWCY przysługiwać będzie wynagrodzenie w łącznej wysokości ………………………. zł netto, słownie: ……………………… zł netto, tj. ……………………..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Oferta WYKONAWCY z dnia ……………..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18.09.2025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A18EF00" w14:textId="72F9420A" w:rsidR="000F0420" w:rsidRPr="002C471C" w:rsidRDefault="007F08C0" w:rsidP="000F042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0F0420" w:rsidRPr="000F0420">
        <w:rPr>
          <w:rFonts w:ascii="Cambria" w:hAnsi="Cambria" w:cs="Calibri"/>
          <w:sz w:val="22"/>
          <w:szCs w:val="22"/>
        </w:rPr>
        <w:t>analizy zawartości pierwiastków P, K, Ca, Mg, Fe, Zn, Cu, B, Mn w 90 próbach korzeni sosny zwyczajnej (+/- 10%)</w:t>
      </w:r>
      <w:r w:rsidR="000F0420">
        <w:rPr>
          <w:rFonts w:ascii="Cambria" w:hAnsi="Cambria" w:cs="Calibri"/>
          <w:sz w:val="22"/>
          <w:szCs w:val="22"/>
        </w:rPr>
        <w:t>.</w:t>
      </w:r>
    </w:p>
    <w:p w14:paraId="4D8FE4D0" w14:textId="77777777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7FB58D43" w14:textId="77777777" w:rsidR="000F0420" w:rsidRDefault="000F042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449ED2F" w14:textId="7566B18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28A6" w14:textId="77777777" w:rsidR="006168E8" w:rsidRDefault="006168E8" w:rsidP="000F0420">
      <w:r>
        <w:separator/>
      </w:r>
    </w:p>
  </w:endnote>
  <w:endnote w:type="continuationSeparator" w:id="0">
    <w:p w14:paraId="29838E40" w14:textId="77777777" w:rsidR="006168E8" w:rsidRDefault="006168E8" w:rsidP="000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F4C9" w14:textId="77777777" w:rsidR="006168E8" w:rsidRDefault="006168E8" w:rsidP="000F0420">
      <w:r>
        <w:separator/>
      </w:r>
    </w:p>
  </w:footnote>
  <w:footnote w:type="continuationSeparator" w:id="0">
    <w:p w14:paraId="24D177AA" w14:textId="77777777" w:rsidR="006168E8" w:rsidRDefault="006168E8" w:rsidP="000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FE4E" w14:textId="019386B4" w:rsidR="000F0420" w:rsidRPr="00A44775" w:rsidRDefault="000F0420" w:rsidP="000F0420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>
      <w:rPr>
        <w:rFonts w:ascii="Cambria" w:hAnsi="Cambria"/>
      </w:rPr>
      <w:t>79</w:t>
    </w:r>
    <w:r>
      <w:rPr>
        <w:rFonts w:ascii="Cambria" w:hAnsi="Cambria"/>
      </w:rPr>
      <w:t>9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1423A372" w14:textId="76C72AC9" w:rsidR="000F0420" w:rsidRPr="00A44775" w:rsidRDefault="000F0420" w:rsidP="000F0420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>
      <w:rPr>
        <w:rFonts w:ascii="Cambria" w:hAnsi="Cambria"/>
      </w:rPr>
      <w:t>1</w:t>
    </w:r>
    <w:r>
      <w:rPr>
        <w:rFonts w:ascii="Cambria" w:hAnsi="Cambria"/>
      </w:rPr>
      <w:t>7</w:t>
    </w:r>
  </w:p>
  <w:p w14:paraId="21C054CC" w14:textId="77777777" w:rsidR="000F0420" w:rsidRDefault="000F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2640885">
    <w:abstractNumId w:val="4"/>
  </w:num>
  <w:num w:numId="2" w16cid:durableId="957495360">
    <w:abstractNumId w:val="8"/>
  </w:num>
  <w:num w:numId="3" w16cid:durableId="1554728878">
    <w:abstractNumId w:val="0"/>
  </w:num>
  <w:num w:numId="4" w16cid:durableId="889728676">
    <w:abstractNumId w:val="9"/>
  </w:num>
  <w:num w:numId="5" w16cid:durableId="789856343">
    <w:abstractNumId w:val="5"/>
  </w:num>
  <w:num w:numId="6" w16cid:durableId="730690922">
    <w:abstractNumId w:val="1"/>
  </w:num>
  <w:num w:numId="7" w16cid:durableId="2064675819">
    <w:abstractNumId w:val="3"/>
  </w:num>
  <w:num w:numId="8" w16cid:durableId="62995311">
    <w:abstractNumId w:val="2"/>
  </w:num>
  <w:num w:numId="9" w16cid:durableId="522793346">
    <w:abstractNumId w:val="6"/>
  </w:num>
  <w:num w:numId="10" w16cid:durableId="14068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0F0420"/>
    <w:rsid w:val="0058284A"/>
    <w:rsid w:val="006168E8"/>
    <w:rsid w:val="0064687B"/>
    <w:rsid w:val="007F08C0"/>
    <w:rsid w:val="00B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2381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4</cp:revision>
  <dcterms:created xsi:type="dcterms:W3CDTF">2025-09-17T11:39:00Z</dcterms:created>
  <dcterms:modified xsi:type="dcterms:W3CDTF">2025-09-17T11:46:00Z</dcterms:modified>
</cp:coreProperties>
</file>